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rPr>
        <w:t>[2005 07 26]</w:t>
      </w:r>
      <w:r>
        <w:rPr>
          <w:rFonts w:ascii="Times Roman" w:hAnsi="Times Roman"/>
          <w:rtl w:val="0"/>
          <w:lang w:val="en-US"/>
        </w:rPr>
        <w:t xml:space="preserve"> July 26, 2005: </w:t>
      </w:r>
      <w:r>
        <w:rPr>
          <w:rFonts w:ascii="Times Roman" w:hAnsi="Times Roman"/>
          <w:b w:val="1"/>
          <w:bCs w:val="1"/>
          <w:rtl w:val="0"/>
          <w:lang w:val="en-US"/>
        </w:rPr>
        <w:t>Jack Bacon</w:t>
      </w:r>
      <w:r>
        <w:rPr>
          <w:rFonts w:ascii="Times Roman" w:hAnsi="Times Roman"/>
          <w:rtl w:val="0"/>
        </w:rPr>
        <w:t xml:space="preserve">/NASA JSC/OM3, </w:t>
      </w:r>
      <w:r>
        <w:rPr>
          <w:rFonts w:ascii="Times Roman" w:hAnsi="Times Roman"/>
          <w:b w:val="1"/>
          <w:bCs w:val="1"/>
          <w:rtl w:val="0"/>
          <w:lang w:val="en-US"/>
        </w:rPr>
        <w:t xml:space="preserve">In Pursuit of the Phantom Torque. </w:t>
      </w:r>
    </w:p>
    <w:p>
      <w:pPr>
        <w:pStyle w:val="Default"/>
        <w:bidi w:val="0"/>
        <w:spacing w:before="0" w:line="240" w:lineRule="auto"/>
        <w:ind w:left="0" w:right="0" w:firstLine="0"/>
        <w:jc w:val="left"/>
        <w:rPr>
          <w:rFonts w:ascii="Times Roman" w:cs="Times Roman" w:hAnsi="Times Roman" w:eastAsia="Times Roman"/>
          <w:b w:val="1"/>
          <w:bCs w:val="1"/>
          <w:rtl w:val="0"/>
        </w:rPr>
      </w:pPr>
    </w:p>
    <w:p>
      <w:pPr>
        <w:pStyle w:val="Default"/>
        <w:bidi w:val="0"/>
        <w:spacing w:before="0" w:line="240" w:lineRule="auto"/>
        <w:ind w:left="0" w:right="0" w:firstLine="0"/>
        <w:jc w:val="center"/>
        <w:rPr>
          <w:rFonts w:ascii="Verdana" w:cs="Verdana" w:hAnsi="Verdana" w:eastAsia="Verdana"/>
          <w:b w:val="1"/>
          <w:bCs w:val="1"/>
          <w:outline w:val="0"/>
          <w:color w:val="0b3d92"/>
          <w:sz w:val="36"/>
          <w:szCs w:val="36"/>
          <w:rtl w:val="0"/>
          <w14:textFill>
            <w14:solidFill>
              <w14:srgbClr w14:val="0B3D92"/>
            </w14:solidFill>
          </w14:textFill>
        </w:rPr>
      </w:pPr>
      <w:r>
        <w:rPr>
          <w:rFonts w:ascii="Verdana" w:hAnsi="Verdana"/>
          <w:outline w:val="0"/>
          <w:color w:val="0b3d92"/>
          <w:rtl w:val="0"/>
          <w:lang w:val="en-US"/>
          <w14:textFill>
            <w14:solidFill>
              <w14:srgbClr w14:val="0B3D92"/>
            </w14:solidFill>
          </w14:textFill>
        </w:rPr>
        <w:t>Guidance, Navigation &amp; Control Technical Committee presents</w:t>
      </w:r>
    </w:p>
    <w:p>
      <w:pPr>
        <w:pStyle w:val="Default"/>
        <w:bidi w:val="0"/>
        <w:spacing w:before="0" w:line="240" w:lineRule="auto"/>
        <w:ind w:left="0" w:right="0" w:firstLine="0"/>
        <w:jc w:val="center"/>
        <w:rPr>
          <w:rFonts w:ascii="Verdana" w:cs="Verdana" w:hAnsi="Verdana" w:eastAsia="Verdana"/>
          <w:b w:val="1"/>
          <w:bCs w:val="1"/>
          <w:outline w:val="0"/>
          <w:color w:val="0b3d92"/>
          <w:sz w:val="36"/>
          <w:szCs w:val="36"/>
          <w:rtl w:val="0"/>
          <w14:textFill>
            <w14:solidFill>
              <w14:srgbClr w14:val="0B3D92"/>
            </w14:solidFill>
          </w14:textFill>
        </w:rPr>
      </w:pPr>
      <w:r>
        <w:rPr>
          <w:rFonts w:ascii="Verdana" w:hAnsi="Verdana"/>
          <w:b w:val="1"/>
          <w:bCs w:val="1"/>
          <w:outline w:val="0"/>
          <w:color w:val="0b3d92"/>
          <w:sz w:val="36"/>
          <w:szCs w:val="36"/>
          <w:rtl w:val="0"/>
          <w:lang w:val="en-US"/>
          <w14:textFill>
            <w14:solidFill>
              <w14:srgbClr w14:val="0B3D92"/>
            </w14:solidFill>
          </w14:textFill>
        </w:rPr>
        <w:t>In Pursuit of the Phantom Torque</w:t>
      </w:r>
    </w:p>
    <w:p>
      <w:pPr>
        <w:pStyle w:val="Default"/>
        <w:bidi w:val="0"/>
        <w:spacing w:before="0" w:line="240" w:lineRule="auto"/>
        <w:ind w:left="0" w:right="0" w:firstLine="0"/>
        <w:jc w:val="center"/>
        <w:rPr>
          <w:rFonts w:ascii="Verdana" w:cs="Verdana" w:hAnsi="Verdana" w:eastAsia="Verdana"/>
          <w:outline w:val="0"/>
          <w:color w:val="0b3d92"/>
          <w:rtl w:val="0"/>
          <w14:textFill>
            <w14:solidFill>
              <w14:srgbClr w14:val="0B3D92"/>
            </w14:solidFill>
          </w14:textFill>
        </w:rPr>
      </w:pPr>
      <w:r>
        <w:rPr>
          <w:rFonts w:ascii="Verdana" w:hAnsi="Verdana"/>
          <w:outline w:val="0"/>
          <w:color w:val="0b3d92"/>
          <w:rtl w:val="0"/>
          <w14:textFill>
            <w14:solidFill>
              <w14:srgbClr w14:val="0B3D92"/>
            </w14:solidFill>
          </w14:textFill>
        </w:rPr>
        <w:t>by</w:t>
      </w:r>
    </w:p>
    <w:p>
      <w:pPr>
        <w:pStyle w:val="Default"/>
        <w:bidi w:val="0"/>
        <w:spacing w:before="0" w:line="240" w:lineRule="auto"/>
        <w:ind w:left="0" w:right="0" w:firstLine="0"/>
        <w:jc w:val="center"/>
        <w:rPr>
          <w:rFonts w:ascii="Verdana" w:cs="Verdana" w:hAnsi="Verdana" w:eastAsia="Verdana"/>
          <w:b w:val="1"/>
          <w:bCs w:val="1"/>
          <w:outline w:val="0"/>
          <w:color w:val="0b3d92"/>
          <w:rtl w:val="0"/>
          <w14:textFill>
            <w14:solidFill>
              <w14:srgbClr w14:val="0B3D92"/>
            </w14:solidFill>
          </w14:textFill>
        </w:rPr>
      </w:pPr>
      <w:r>
        <w:rPr>
          <w:rFonts w:ascii="Verdana" w:hAnsi="Verdana"/>
          <w:b w:val="1"/>
          <w:bCs w:val="1"/>
          <w:outline w:val="0"/>
          <w:color w:val="0b3d92"/>
          <w:rtl w:val="0"/>
          <w:lang w:val="en-US"/>
          <w14:textFill>
            <w14:solidFill>
              <w14:srgbClr w14:val="0B3D92"/>
            </w14:solidFill>
          </w14:textFill>
        </w:rPr>
        <w:t>Jack Bacon / NASA JSC / OM3</w:t>
      </w:r>
    </w:p>
    <w:p>
      <w:pPr>
        <w:pStyle w:val="Default"/>
        <w:bidi w:val="0"/>
        <w:spacing w:before="0" w:line="240" w:lineRule="auto"/>
        <w:ind w:left="0" w:right="0" w:firstLine="0"/>
        <w:jc w:val="left"/>
        <w:rPr>
          <w:rFonts w:ascii="Times Roman" w:cs="Times Roman" w:hAnsi="Times Roman" w:eastAsia="Times Roman"/>
          <w:b w:val="1"/>
          <w:bCs w:val="1"/>
          <w:rtl w:val="0"/>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Date</w:t>
      </w:r>
      <w:r>
        <w:rPr>
          <w:rFonts w:ascii="Times Roman" w:hAnsi="Times Roman"/>
          <w:rtl w:val="0"/>
          <w:lang w:val="en-US"/>
        </w:rPr>
        <w:t xml:space="preserve">: </w:t>
      </w:r>
      <w:r>
        <w:rPr>
          <w:rFonts w:ascii="Times Roman" w:hAnsi="Times Roman"/>
          <w:rtl w:val="0"/>
          <w:lang w:val="en-US"/>
        </w:rPr>
        <w:t>Jul 26, 2005 (Tuesday)</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Time</w:t>
      </w:r>
      <w:r>
        <w:rPr>
          <w:rFonts w:ascii="Times Roman" w:hAnsi="Times Roman"/>
          <w:rtl w:val="0"/>
          <w:lang w:val="en-US"/>
        </w:rPr>
        <w:t xml:space="preserve">: </w:t>
      </w:r>
      <w:r>
        <w:rPr>
          <w:rFonts w:ascii="Times Roman" w:hAnsi="Times Roman"/>
          <w:rtl w:val="0"/>
          <w:lang w:val="en-US"/>
        </w:rPr>
        <w:t>11:30 am to 12:30 pm</w:t>
      </w:r>
    </w:p>
    <w:p>
      <w:pPr>
        <w:pStyle w:val="Default"/>
        <w:bidi w:val="0"/>
        <w:spacing w:before="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Place</w:t>
      </w:r>
      <w:r>
        <w:rPr>
          <w:rFonts w:ascii="Times Roman" w:hAnsi="Times Roman"/>
          <w:rtl w:val="0"/>
          <w:lang w:val="en-US"/>
        </w:rPr>
        <w:t xml:space="preserve">: </w:t>
      </w:r>
      <w:r>
        <w:rPr>
          <w:rFonts w:ascii="Times Roman" w:hAnsi="Times Roman"/>
          <w:rtl w:val="0"/>
        </w:rPr>
        <w:t>NAS</w:t>
      </w:r>
      <w:r>
        <w:rPr>
          <w:rFonts w:ascii="Times Roman" w:hAnsi="Times Roman"/>
          <w:rtl w:val="0"/>
          <w:lang w:val="en-US"/>
        </w:rPr>
        <w:t>A</w:t>
      </w:r>
      <w:r>
        <w:rPr>
          <w:rFonts w:ascii="Times Roman" w:hAnsi="Times Roman"/>
          <w:rtl w:val="0"/>
          <w:lang w:val="en-US"/>
        </w:rPr>
        <w:t>/JSC Building 30 Auditorium</w:t>
      </w:r>
    </w:p>
    <w:p>
      <w:pPr>
        <w:pStyle w:val="Default"/>
        <w:bidi w:val="0"/>
        <w:spacing w:before="0" w:line="240" w:lineRule="auto"/>
        <w:ind w:left="0" w:right="0" w:firstLine="0"/>
        <w:jc w:val="left"/>
        <w:rPr>
          <w:rFonts w:ascii="Times Roman" w:cs="Times Roman" w:hAnsi="Times Roman" w:eastAsia="Times Roman"/>
          <w:b w:val="1"/>
          <w:bCs w:val="1"/>
          <w:rtl w:val="0"/>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In the past year and a half, a previously unknown phenomenon has been observed aboard the ISS, leading US and Russian specialists on a challenging quest to isolate and to correct the cause. Only evident during Russian EVAs, the </w:t>
      </w:r>
      <w:r>
        <w:rPr>
          <w:rFonts w:ascii="Times Roman" w:hAnsi="Times Roman" w:hint="default"/>
          <w:rtl w:val="1"/>
          <w:lang w:val="ar-SA" w:bidi="ar-SA"/>
        </w:rPr>
        <w:t>“</w:t>
      </w:r>
      <w:r>
        <w:rPr>
          <w:rFonts w:ascii="Times Roman" w:hAnsi="Times Roman"/>
          <w:rtl w:val="0"/>
          <w:lang w:val="pt-PT"/>
        </w:rPr>
        <w:t>Phantom Torque</w:t>
      </w:r>
      <w:r>
        <w:rPr>
          <w:rFonts w:ascii="Times Roman" w:hAnsi="Times Roman" w:hint="default"/>
          <w:rtl w:val="0"/>
        </w:rPr>
        <w:t xml:space="preserve">” </w:t>
      </w:r>
      <w:r>
        <w:rPr>
          <w:rFonts w:ascii="Times Roman" w:hAnsi="Times Roman"/>
          <w:rtl w:val="0"/>
          <w:lang w:val="en-US"/>
        </w:rPr>
        <w:t>grows to saturate the US control moment gyroscopes, occasionally causing the ISS to lose control of its attitude, and then to drift in unpredictable ways. Clearly, this effect has serious implications and needs to be understood and corrected.</w:t>
      </w:r>
    </w:p>
    <w:p>
      <w:pPr>
        <w:pStyle w:val="Default"/>
        <w:bidi w:val="0"/>
        <w:spacing w:before="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br w:type="textWrapping"/>
      </w:r>
      <w:r>
        <w:rPr>
          <w:rFonts w:ascii="Times Roman" w:hAnsi="Times Roman"/>
          <w:rtl w:val="0"/>
          <w:lang w:val="en-US"/>
        </w:rPr>
        <w:t xml:space="preserve">Thanks to an impressive series of analyses and careful study of the on-orbit data, the root cause has been found: a second-order effect previously thought to be inconsequential </w:t>
      </w:r>
      <w:r>
        <w:rPr>
          <w:rFonts w:ascii="Arial Unicode MS" w:cs="Arial Unicode MS" w:hAnsi="Arial Unicode MS" w:eastAsia="Arial Unicode MS" w:hint="default"/>
          <w:b w:val="0"/>
          <w:bCs w:val="0"/>
          <w:i w:val="0"/>
          <w:iCs w:val="0"/>
          <w:rtl w:val="0"/>
        </w:rPr>
        <w:t>―</w:t>
      </w:r>
      <w:r>
        <w:rPr>
          <w:rFonts w:ascii="Times Roman" w:hAnsi="Times Roman"/>
          <w:rtl w:val="0"/>
        </w:rPr>
        <w:t xml:space="preserve"> </w:t>
      </w:r>
      <w:r>
        <w:rPr>
          <w:rFonts w:ascii="Times Roman" w:hAnsi="Times Roman"/>
          <w:rtl w:val="0"/>
          <w:lang w:val="en-US"/>
        </w:rPr>
        <w:t>that is, until a spacecraft the size of the ISS amplified the effect into view. There are still some people who don</w:t>
      </w:r>
      <w:r>
        <w:rPr>
          <w:rFonts w:ascii="Times Roman" w:hAnsi="Times Roman" w:hint="default"/>
          <w:rtl w:val="1"/>
        </w:rPr>
        <w:t>’</w:t>
      </w:r>
      <w:r>
        <w:rPr>
          <w:rFonts w:ascii="Times Roman" w:hAnsi="Times Roman"/>
          <w:rtl w:val="0"/>
          <w:lang w:val="en-US"/>
        </w:rPr>
        <w:t>t believe it, because it flies in the face of 40 years of experience on smaller spacecraft, even though the evidence is conclusive and completely consistent with past experience. It</w:t>
      </w:r>
      <w:r>
        <w:rPr>
          <w:rFonts w:ascii="Times Roman" w:hAnsi="Times Roman" w:hint="default"/>
          <w:rtl w:val="1"/>
        </w:rPr>
        <w:t>’</w:t>
      </w:r>
      <w:r>
        <w:rPr>
          <w:rFonts w:ascii="Times Roman" w:hAnsi="Times Roman"/>
          <w:rtl w:val="0"/>
          <w:lang w:val="en-US"/>
        </w:rPr>
        <w:t xml:space="preserve">s very simple, but totally non-intuitive until you </w:t>
      </w:r>
      <w:r>
        <w:rPr>
          <w:rFonts w:ascii="Times Roman" w:hAnsi="Times Roman" w:hint="default"/>
          <w:rtl w:val="1"/>
          <w:lang w:val="ar-SA" w:bidi="ar-SA"/>
        </w:rPr>
        <w:t>“</w:t>
      </w:r>
      <w:r>
        <w:rPr>
          <w:rFonts w:ascii="Times Roman" w:hAnsi="Times Roman"/>
          <w:rtl w:val="0"/>
          <w:lang w:val="en-US"/>
        </w:rPr>
        <w:t>think big</w:t>
      </w:r>
      <w:r>
        <w:rPr>
          <w:rFonts w:ascii="Times Roman" w:hAnsi="Times Roman" w:hint="default"/>
          <w:rtl w:val="0"/>
        </w:rPr>
        <w:t>”</w:t>
      </w:r>
      <w:r>
        <w:rPr>
          <w:rFonts w:ascii="Times Roman" w:hAnsi="Times Roman"/>
          <w:rtl w:val="0"/>
          <w:lang w:val="en-US"/>
        </w:rPr>
        <w:t>. The solution has implications for future large spacecraft and EVA gear. Come and see for yourself!</w:t>
      </w:r>
    </w:p>
    <w:p>
      <w:pPr>
        <w:pStyle w:val="Default"/>
        <w:bidi w:val="0"/>
        <w:spacing w:before="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br w:type="textWrapping"/>
      </w:r>
      <w:r>
        <w:rPr>
          <w:rFonts w:ascii="Times Roman" w:hAnsi="Times Roman"/>
          <w:rtl w:val="0"/>
          <w:lang w:val="en-US"/>
        </w:rPr>
        <w:t>Dr. Bacon is the Program Integration Office representative to the ISS Mission Management Team and is the NASA lead of the Mission Analysis and Integration (MAI) team of the VIPER group. He was just one member of the team of specialists that resolved the phantom torque issue, and will share the reporting duties with various members of the team. A worldwide motivational speaker and author, Jack is a Distinguished Lecturer of the AIAA, and veteran of over 120 educational presentations per year in numerous US states and foreign countries.</w:t>
      </w:r>
    </w:p>
    <w:p>
      <w:pPr>
        <w:pStyle w:val="Default"/>
        <w:bidi w:val="0"/>
        <w:spacing w:before="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br w:type="textWrapping"/>
      </w:r>
      <w:r>
        <w:rPr>
          <w:rFonts w:ascii="Times Roman" w:hAnsi="Times Roman"/>
          <w:rtl w:val="0"/>
          <w:lang w:val="en-US"/>
        </w:rPr>
        <w:t>Please bring your lunch and a friend. This free event is open to the public. AIAA membership is not required. If you require JSC badging, please register 3 days in advance (citizens) or 2.5 - 3 weeks</w:t>
      </w:r>
    </w:p>
    <w:p>
      <w:pPr>
        <w:pStyle w:val="Default"/>
        <w:tabs>
          <w:tab w:val="left" w:pos="220"/>
          <w:tab w:val="left" w:pos="720"/>
        </w:tabs>
        <w:bidi w:val="0"/>
        <w:spacing w:before="0" w:line="240" w:lineRule="auto"/>
        <w:ind w:left="720" w:right="0" w:hanging="720"/>
        <w:jc w:val="left"/>
        <w:rPr>
          <w:rFonts w:ascii="Times Roman" w:cs="Times Roman" w:hAnsi="Times Roman" w:eastAsia="Times Roman"/>
          <w:rtl w:val="0"/>
        </w:rPr>
      </w:pPr>
    </w:p>
    <w:p>
      <w:pPr>
        <w:pStyle w:val="Default"/>
        <w:tabs>
          <w:tab w:val="left" w:pos="220"/>
          <w:tab w:val="left" w:pos="720"/>
        </w:tabs>
        <w:bidi w:val="0"/>
        <w:spacing w:before="0" w:line="240" w:lineRule="auto"/>
        <w:ind w:left="720" w:right="0" w:hanging="720"/>
        <w:jc w:val="left"/>
        <w:rPr>
          <w:rFonts w:ascii="Times Roman" w:cs="Times Roman" w:hAnsi="Times Roman" w:eastAsia="Times Roman"/>
          <w:rtl w:val="0"/>
        </w:rPr>
      </w:pPr>
      <w:r>
        <w:rPr>
          <w:rFonts w:ascii="Times Roman" w:hAnsi="Times Roman"/>
          <w:rtl w:val="0"/>
          <w:lang w:val="en-US"/>
        </w:rPr>
        <w:t xml:space="preserve">Source: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"https://web.archive.org/web/20050716035317/http://www.aiaa-houston.org/"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https://web.archive.org/web/20050716035317/http://www.aiaa-houston.org/</w:t>
      </w:r>
      <w:r>
        <w:rPr>
          <w:rFonts w:ascii="Times Roman" w:cs="Times Roman" w:hAnsi="Times Roman" w:eastAsia="Times Roman"/>
          <w:rtl w:val="0"/>
        </w:rPr>
        <w:fldChar w:fldCharType="end" w:fldLock="0"/>
      </w:r>
    </w:p>
    <w:p>
      <w:pPr>
        <w:pStyle w:val="Default"/>
        <w:tabs>
          <w:tab w:val="left" w:pos="220"/>
          <w:tab w:val="left" w:pos="720"/>
        </w:tabs>
        <w:bidi w:val="0"/>
        <w:spacing w:before="0" w:line="240" w:lineRule="auto"/>
        <w:ind w:left="720" w:right="0" w:hanging="720"/>
        <w:jc w:val="left"/>
        <w:rPr>
          <w:rtl w:val="0"/>
        </w:rPr>
      </w:pPr>
      <w:r>
        <w:rPr>
          <w:rFonts w:ascii="Times Roman" w:hAnsi="Times Roman"/>
          <w:rtl w:val="0"/>
          <w:lang w:val="en-US"/>
        </w:rPr>
        <w:t xml:space="preserve">Downloaded and copied, reformatted, September 1, 2025, Douglas Yazell.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